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F9" w:rsidRDefault="00614CF9" w:rsidP="0031108B">
      <w:pPr>
        <w:jc w:val="center"/>
        <w:rPr>
          <w:noProof/>
        </w:rPr>
      </w:pPr>
    </w:p>
    <w:p w:rsidR="00614CF9" w:rsidRDefault="00614CF9" w:rsidP="00614CF9">
      <w:pPr>
        <w:jc w:val="center"/>
        <w:rPr>
          <w:noProof/>
          <w:rtl/>
        </w:rPr>
      </w:pPr>
      <w:r>
        <w:rPr>
          <w:noProof/>
        </w:rPr>
        <w:drawing>
          <wp:inline distT="0" distB="0" distL="0" distR="0" wp14:anchorId="268AC188" wp14:editId="342F3EEC">
            <wp:extent cx="6001407" cy="120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9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31" w:rsidRPr="00F461D1" w:rsidRDefault="00181531" w:rsidP="0018153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توصيف مختصر لمقرر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515</w:t>
      </w:r>
      <w:r w:rsidRPr="00F461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>نفس ذي القعدة 1436هـ</w:t>
      </w:r>
    </w:p>
    <w:tbl>
      <w:tblPr>
        <w:tblStyle w:val="a4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410"/>
      </w:tblGrid>
      <w:tr w:rsidR="00614CF9" w:rsidRPr="008D715E" w:rsidTr="00614CF9">
        <w:tc>
          <w:tcPr>
            <w:tcW w:w="5130" w:type="dxa"/>
          </w:tcPr>
          <w:p w:rsidR="00614CF9" w:rsidRPr="008D715E" w:rsidRDefault="00614CF9" w:rsidP="00614CF9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نفس  515</w:t>
            </w:r>
          </w:p>
        </w:tc>
        <w:tc>
          <w:tcPr>
            <w:tcW w:w="4410" w:type="dxa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ورمز المقرر:</w:t>
            </w:r>
          </w:p>
        </w:tc>
      </w:tr>
      <w:tr w:rsidR="00614CF9" w:rsidRPr="008D715E" w:rsidTr="00614CF9">
        <w:tc>
          <w:tcPr>
            <w:tcW w:w="5130" w:type="dxa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التوجيه التربوي والمهني</w:t>
            </w:r>
          </w:p>
        </w:tc>
        <w:tc>
          <w:tcPr>
            <w:tcW w:w="4410" w:type="dxa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المقرر:</w:t>
            </w:r>
          </w:p>
        </w:tc>
      </w:tr>
      <w:tr w:rsidR="00614CF9" w:rsidRPr="008D715E" w:rsidTr="00614CF9">
        <w:tc>
          <w:tcPr>
            <w:tcW w:w="5130" w:type="dxa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ساعتان (2)</w:t>
            </w:r>
          </w:p>
        </w:tc>
        <w:tc>
          <w:tcPr>
            <w:tcW w:w="4410" w:type="dxa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عدد الساعات المعتمدة:</w:t>
            </w:r>
          </w:p>
        </w:tc>
      </w:tr>
      <w:tr w:rsidR="00614CF9" w:rsidRPr="008D715E" w:rsidTr="007D6AC4">
        <w:tc>
          <w:tcPr>
            <w:tcW w:w="5130" w:type="dxa"/>
            <w:shd w:val="clear" w:color="auto" w:fill="A6A6A6" w:themeFill="background1" w:themeFillShade="A6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0" w:type="dxa"/>
            <w:shd w:val="clear" w:color="auto" w:fill="A6A6A6" w:themeFill="background1" w:themeFillShade="A6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المكتب</w:t>
            </w:r>
          </w:p>
        </w:tc>
      </w:tr>
      <w:tr w:rsidR="00614CF9" w:rsidRPr="008D715E" w:rsidTr="007D6AC4">
        <w:tc>
          <w:tcPr>
            <w:tcW w:w="5130" w:type="dxa"/>
            <w:shd w:val="clear" w:color="auto" w:fill="A6A6A6" w:themeFill="background1" w:themeFillShade="A6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0" w:type="dxa"/>
            <w:shd w:val="clear" w:color="auto" w:fill="A6A6A6" w:themeFill="background1" w:themeFillShade="A6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البريد الالكتروني أو رقم الهاتف</w:t>
            </w:r>
          </w:p>
        </w:tc>
      </w:tr>
      <w:tr w:rsidR="00614CF9" w:rsidRPr="008D715E" w:rsidTr="007D6AC4">
        <w:tc>
          <w:tcPr>
            <w:tcW w:w="5130" w:type="dxa"/>
            <w:shd w:val="clear" w:color="auto" w:fill="A6A6A6" w:themeFill="background1" w:themeFillShade="A6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0" w:type="dxa"/>
            <w:shd w:val="clear" w:color="auto" w:fill="A6A6A6" w:themeFill="background1" w:themeFillShade="A6"/>
          </w:tcPr>
          <w:p w:rsidR="00614CF9" w:rsidRPr="008D715E" w:rsidRDefault="00614CF9" w:rsidP="004926B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الساعات المكتبية</w:t>
            </w:r>
          </w:p>
        </w:tc>
      </w:tr>
    </w:tbl>
    <w:p w:rsidR="00614CF9" w:rsidRPr="007D6AC4" w:rsidRDefault="00614CF9" w:rsidP="006F6FF2">
      <w:p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4CF9" w:rsidRPr="008D715E" w:rsidTr="00614CF9">
        <w:tc>
          <w:tcPr>
            <w:tcW w:w="9576" w:type="dxa"/>
          </w:tcPr>
          <w:p w:rsidR="00614CF9" w:rsidRPr="00181531" w:rsidRDefault="00614CF9" w:rsidP="00614CF9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الهدف العام للمقرر</w:t>
            </w:r>
            <w:r w:rsidR="006F6FF2"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  <w:r w:rsidRPr="008D71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يهدف هذا المقرر إلى تعريف الدارس على مختلف الجوانب النظرية والتطبيقية لعملية الاختيار والتوجيه المهني والتربوي وذلك عن طريق معرفة:</w:t>
            </w:r>
            <w:bookmarkStart w:id="0" w:name="_GoBack"/>
            <w:bookmarkEnd w:id="0"/>
          </w:p>
          <w:p w:rsidR="00614CF9" w:rsidRPr="008D715E" w:rsidRDefault="00614CF9" w:rsidP="008D715E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 xml:space="preserve"> -مفهوم التوجيه المهني والتربوي أهمية التوجيه التربوي والمهني </w:t>
            </w:r>
            <w:r w:rsidR="008D715E"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 xml:space="preserve">، </w:t>
            </w: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النظريات النفسية السائدة في مجال التوجيه المهني والنمو المهني والاختيار المهني والتربوي</w:t>
            </w:r>
            <w:r w:rsidR="008D715E"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 xml:space="preserve">، </w:t>
            </w: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 xml:space="preserve">الخطوات التي تسير عليها عملية التوجيه المهني والتربوي </w:t>
            </w:r>
            <w:r w:rsidR="008D715E"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 xml:space="preserve">، </w:t>
            </w: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أهم طرق وأساليب التوجيه المهني و أهم الأدوات</w:t>
            </w:r>
            <w:r w:rsidRPr="008D71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614CF9" w:rsidRPr="007D6AC4" w:rsidRDefault="00614CF9" w:rsidP="007D6AC4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5688"/>
      </w:tblGrid>
      <w:tr w:rsidR="00F501A3" w:rsidRPr="008D715E" w:rsidTr="00F501A3">
        <w:tc>
          <w:tcPr>
            <w:tcW w:w="1908" w:type="dxa"/>
          </w:tcPr>
          <w:p w:rsidR="00F501A3" w:rsidRPr="008D715E" w:rsidRDefault="00F501A3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ساعات التدريس</w:t>
            </w:r>
          </w:p>
        </w:tc>
        <w:tc>
          <w:tcPr>
            <w:tcW w:w="1980" w:type="dxa"/>
          </w:tcPr>
          <w:p w:rsidR="00F501A3" w:rsidRPr="008D715E" w:rsidRDefault="00F501A3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عدد الأسابيع</w:t>
            </w:r>
          </w:p>
        </w:tc>
        <w:tc>
          <w:tcPr>
            <w:tcW w:w="5688" w:type="dxa"/>
          </w:tcPr>
          <w:p w:rsidR="00F501A3" w:rsidRPr="00181531" w:rsidRDefault="00F501A3" w:rsidP="0031108B">
            <w:pPr>
              <w:jc w:val="center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الموضوعات</w:t>
            </w:r>
          </w:p>
        </w:tc>
      </w:tr>
      <w:tr w:rsidR="00F501A3" w:rsidRPr="008D715E" w:rsidTr="00F501A3">
        <w:tc>
          <w:tcPr>
            <w:tcW w:w="1908" w:type="dxa"/>
          </w:tcPr>
          <w:p w:rsidR="00F501A3" w:rsidRPr="008D715E" w:rsidRDefault="00F501A3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980" w:type="dxa"/>
          </w:tcPr>
          <w:p w:rsidR="00F501A3" w:rsidRPr="008D715E" w:rsidRDefault="00F501A3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688" w:type="dxa"/>
          </w:tcPr>
          <w:p w:rsidR="00F501A3" w:rsidRPr="00181531" w:rsidRDefault="00F501A3" w:rsidP="008D715E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1- نشأة التوجيه التربوي والمهني</w:t>
            </w:r>
          </w:p>
        </w:tc>
      </w:tr>
      <w:tr w:rsidR="00F501A3" w:rsidRPr="008D715E" w:rsidTr="00F501A3">
        <w:tc>
          <w:tcPr>
            <w:tcW w:w="1908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80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688" w:type="dxa"/>
          </w:tcPr>
          <w:p w:rsidR="00F501A3" w:rsidRPr="00181531" w:rsidRDefault="00F501A3" w:rsidP="008D715E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2- التوجيه المهني والاختيار المهني</w:t>
            </w:r>
          </w:p>
        </w:tc>
      </w:tr>
      <w:tr w:rsidR="00F501A3" w:rsidRPr="008D715E" w:rsidTr="00F501A3">
        <w:tc>
          <w:tcPr>
            <w:tcW w:w="1908" w:type="dxa"/>
          </w:tcPr>
          <w:p w:rsidR="00F501A3" w:rsidRPr="008D715E" w:rsidRDefault="00F501A3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80" w:type="dxa"/>
          </w:tcPr>
          <w:p w:rsidR="00F501A3" w:rsidRPr="008D715E" w:rsidRDefault="00F501A3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688" w:type="dxa"/>
          </w:tcPr>
          <w:p w:rsidR="00F501A3" w:rsidRPr="00181531" w:rsidRDefault="00F501A3" w:rsidP="00F501A3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3- محددات التوجيه المهني</w:t>
            </w:r>
          </w:p>
          <w:p w:rsidR="00F501A3" w:rsidRPr="00181531" w:rsidRDefault="00F501A3" w:rsidP="008D715E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القدرات والاستعدادات، التصنيف والتوصيف المهني</w:t>
            </w:r>
          </w:p>
        </w:tc>
      </w:tr>
      <w:tr w:rsidR="00F501A3" w:rsidRPr="008D715E" w:rsidTr="00F501A3">
        <w:tc>
          <w:tcPr>
            <w:tcW w:w="1908" w:type="dxa"/>
          </w:tcPr>
          <w:p w:rsidR="00F501A3" w:rsidRPr="008D715E" w:rsidRDefault="00F501A3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80" w:type="dxa"/>
          </w:tcPr>
          <w:p w:rsidR="00F501A3" w:rsidRPr="008D715E" w:rsidRDefault="00F501A3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688" w:type="dxa"/>
          </w:tcPr>
          <w:p w:rsidR="00F501A3" w:rsidRPr="00181531" w:rsidRDefault="00F501A3" w:rsidP="008D715E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4- نظريات التوجيه المهني والاختيار المهني</w:t>
            </w:r>
          </w:p>
        </w:tc>
      </w:tr>
      <w:tr w:rsidR="00F501A3" w:rsidRPr="008D715E" w:rsidTr="00F501A3">
        <w:tc>
          <w:tcPr>
            <w:tcW w:w="1908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1980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688" w:type="dxa"/>
          </w:tcPr>
          <w:p w:rsidR="00F501A3" w:rsidRPr="00181531" w:rsidRDefault="00F501A3" w:rsidP="00F501A3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5- طرق وأساليب التوجيه المهني</w:t>
            </w:r>
          </w:p>
          <w:p w:rsidR="00F501A3" w:rsidRPr="00181531" w:rsidRDefault="00F501A3" w:rsidP="00F501A3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أدوات ووسائل جمع المعلومات والبيانات التي يتطلبها التوجيه المهني</w:t>
            </w:r>
          </w:p>
        </w:tc>
      </w:tr>
      <w:tr w:rsidR="00F501A3" w:rsidRPr="008D715E" w:rsidTr="00F501A3">
        <w:tc>
          <w:tcPr>
            <w:tcW w:w="1908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980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688" w:type="dxa"/>
          </w:tcPr>
          <w:p w:rsidR="00F501A3" w:rsidRPr="00181531" w:rsidRDefault="00F501A3" w:rsidP="008D715E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6- النماذج التطبيقية في التوجيه المهني</w:t>
            </w:r>
          </w:p>
        </w:tc>
      </w:tr>
      <w:tr w:rsidR="00F501A3" w:rsidRPr="008D715E" w:rsidTr="00F501A3">
        <w:tc>
          <w:tcPr>
            <w:tcW w:w="1908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80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688" w:type="dxa"/>
          </w:tcPr>
          <w:p w:rsidR="00F501A3" w:rsidRPr="00181531" w:rsidRDefault="00F501A3" w:rsidP="008D715E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7- أسس إدارة خدمات التوجيه المهني</w:t>
            </w:r>
          </w:p>
        </w:tc>
      </w:tr>
      <w:tr w:rsidR="00F501A3" w:rsidRPr="008D715E" w:rsidTr="00F501A3">
        <w:tc>
          <w:tcPr>
            <w:tcW w:w="1908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980" w:type="dxa"/>
          </w:tcPr>
          <w:p w:rsidR="00F501A3" w:rsidRPr="008D715E" w:rsidRDefault="00634A5C" w:rsidP="0031108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688" w:type="dxa"/>
          </w:tcPr>
          <w:p w:rsidR="00F501A3" w:rsidRPr="00181531" w:rsidRDefault="00F501A3" w:rsidP="008D715E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Theme="minorEastAsia" w:hAnsi="Traditional Arabic" w:cs="Traditional Arabic"/>
                <w:sz w:val="28"/>
                <w:szCs w:val="28"/>
              </w:rPr>
            </w:pPr>
            <w:r w:rsidRPr="00181531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</w:rPr>
              <w:t>8- التوجيه المهني للنساء</w:t>
            </w:r>
          </w:p>
        </w:tc>
      </w:tr>
    </w:tbl>
    <w:tbl>
      <w:tblPr>
        <w:tblpPr w:leftFromText="180" w:rightFromText="180" w:vertAnchor="text" w:horzAnchor="margin" w:tblpY="479"/>
        <w:bidiVisual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1950"/>
        <w:gridCol w:w="982"/>
        <w:gridCol w:w="900"/>
      </w:tblGrid>
      <w:tr w:rsidR="009E749E" w:rsidTr="009E749E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(3) طبيعة مهمة التقويم ( اختبار، مشروع جماعي ، بحث ..  ) </w:t>
            </w:r>
          </w:p>
        </w:tc>
      </w:tr>
      <w:tr w:rsidR="009E749E" w:rsidTr="009E749E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يعتمد تقويم المقرر على عدد الدارسين في الشعبة وخلفياتهم العلمية والأعمال التي يمارسونها على أن يلتزم بما يلي :</w:t>
            </w:r>
          </w:p>
        </w:tc>
      </w:tr>
      <w:tr w:rsidR="009E749E" w:rsidTr="009E749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E" w:rsidRDefault="009E749E" w:rsidP="009E749E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الدرجة  </w:t>
            </w:r>
          </w:p>
        </w:tc>
      </w:tr>
      <w:tr w:rsidR="004B12CC" w:rsidTr="009E749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C" w:rsidRDefault="004B12CC" w:rsidP="009E749E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يقل عن اختبار تحصيلي فصلي واحد ولا يزيد عن اثنين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C" w:rsidRDefault="004B12CC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، الثاني عشر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C" w:rsidRDefault="004B12CC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25-40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C" w:rsidRDefault="004B12CC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مجموعهما 60</w:t>
            </w:r>
          </w:p>
        </w:tc>
      </w:tr>
      <w:tr w:rsidR="009E749E" w:rsidTr="009E749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لا يقل عن تكليفين ( بحث , تلخيص وعرض </w:t>
            </w:r>
            <w:r w:rsidRPr="0018153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ونقد دراسات ) ولا يزيد عن ثلاثة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الأسبوع العاشر  إلى الرابع عشر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20- 40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E" w:rsidRDefault="009E749E" w:rsidP="009E749E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9E749E" w:rsidTr="009E749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40</w:t>
            </w:r>
          </w:p>
        </w:tc>
      </w:tr>
      <w:tr w:rsidR="009E749E" w:rsidTr="009E749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E" w:rsidRDefault="009E749E" w:rsidP="009E749E">
            <w:pPr>
              <w:pStyle w:val="a5"/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</w:tr>
      <w:tr w:rsidR="009E749E" w:rsidTr="009E749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E" w:rsidRDefault="009E749E" w:rsidP="009E749E">
            <w:pPr>
              <w:pStyle w:val="a5"/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E" w:rsidRDefault="009E749E" w:rsidP="009E749E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</w:tr>
    </w:tbl>
    <w:p w:rsidR="00F501A3" w:rsidRPr="007D6AC4" w:rsidRDefault="00F501A3" w:rsidP="007D6AC4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4A5C" w:rsidRPr="008D715E" w:rsidTr="00634A5C">
        <w:tc>
          <w:tcPr>
            <w:tcW w:w="9576" w:type="dxa"/>
          </w:tcPr>
          <w:p w:rsidR="00634A5C" w:rsidRPr="008D715E" w:rsidRDefault="00634A5C" w:rsidP="00634A5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المراجع المعتمدة للمقرر:</w:t>
            </w:r>
          </w:p>
          <w:p w:rsidR="00634A5C" w:rsidRPr="008D715E" w:rsidRDefault="00634A5C" w:rsidP="00634A5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71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سيكولوجية التوجيه المهني / الدكتور عويد سلطان المشعان الهذال</w:t>
            </w:r>
          </w:p>
          <w:p w:rsidR="00634A5C" w:rsidRPr="008D715E" w:rsidRDefault="00634A5C" w:rsidP="00634A5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71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من أسس التوجيه المهني/ الدكتور عمر محمد التومي الشيباني</w:t>
            </w:r>
          </w:p>
          <w:p w:rsidR="00634A5C" w:rsidRPr="008D715E" w:rsidRDefault="00634A5C" w:rsidP="00634A5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71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التوجيه التربوي والمهني/ الدكتور احمد ابو سعد والدكتوراة لمياء الهواري</w:t>
            </w:r>
          </w:p>
          <w:p w:rsidR="00634A5C" w:rsidRPr="008D715E" w:rsidRDefault="00634A5C" w:rsidP="00634A5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71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التوجيه المهني ونظرياته/ جودت عزت عبدالهادي وسعيد حسني العزة</w:t>
            </w:r>
          </w:p>
          <w:p w:rsidR="0043517E" w:rsidRPr="008D715E" w:rsidRDefault="00634A5C" w:rsidP="0043517E">
            <w:pPr>
              <w:shd w:val="clear" w:color="auto" w:fill="FFFFFF"/>
              <w:bidi/>
              <w:spacing w:before="100" w:beforeAutospacing="1" w:after="100" w:afterAutospacing="1"/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8D71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 xml:space="preserve">International Handbook of career Guidance 2008/ </w:t>
            </w:r>
            <w:proofErr w:type="spellStart"/>
            <w:r w:rsidRPr="008D715E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Athanasou</w:t>
            </w:r>
            <w:proofErr w:type="spellEnd"/>
            <w:r w:rsidRPr="008D715E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, James </w:t>
            </w:r>
          </w:p>
          <w:p w:rsidR="00634A5C" w:rsidRPr="008D715E" w:rsidRDefault="00634A5C" w:rsidP="007D6AC4">
            <w:pPr>
              <w:shd w:val="clear" w:color="auto" w:fill="FFFFFF"/>
              <w:bidi/>
              <w:spacing w:before="100" w:beforeAutospacing="1" w:after="100" w:afterAutospacing="1"/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D715E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A</w:t>
            </w:r>
            <w:r w:rsidRPr="008D715E">
              <w:rPr>
                <w:rStyle w:val="apple-converted-space"/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D715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Vocational Guidance 2011/ </w:t>
            </w:r>
            <w:r w:rsidRPr="008D715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Norman C. </w:t>
            </w:r>
            <w:proofErr w:type="spellStart"/>
            <w:r w:rsidRPr="008D715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Gysber</w:t>
            </w:r>
            <w:proofErr w:type="spellEnd"/>
          </w:p>
        </w:tc>
      </w:tr>
    </w:tbl>
    <w:p w:rsidR="008E3FDB" w:rsidRPr="007D6AC4" w:rsidRDefault="008E3FDB" w:rsidP="007D6AC4">
      <w:pPr>
        <w:tabs>
          <w:tab w:val="left" w:pos="5926"/>
        </w:tabs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sectPr w:rsidR="008E3FDB" w:rsidRPr="007D6AC4" w:rsidSect="006D3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C7D"/>
    <w:multiLevelType w:val="multilevel"/>
    <w:tmpl w:val="F85E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FC"/>
    <w:rsid w:val="00016CDB"/>
    <w:rsid w:val="00092BB5"/>
    <w:rsid w:val="00120FBA"/>
    <w:rsid w:val="00181531"/>
    <w:rsid w:val="00213970"/>
    <w:rsid w:val="002330BF"/>
    <w:rsid w:val="002A7712"/>
    <w:rsid w:val="002C43FE"/>
    <w:rsid w:val="002E1E21"/>
    <w:rsid w:val="0031108B"/>
    <w:rsid w:val="003F3AD8"/>
    <w:rsid w:val="003F4904"/>
    <w:rsid w:val="003F70F4"/>
    <w:rsid w:val="0042039E"/>
    <w:rsid w:val="0043517E"/>
    <w:rsid w:val="004733C4"/>
    <w:rsid w:val="004B12CC"/>
    <w:rsid w:val="004E136C"/>
    <w:rsid w:val="00505CFB"/>
    <w:rsid w:val="005E019A"/>
    <w:rsid w:val="00614CF9"/>
    <w:rsid w:val="00634A5C"/>
    <w:rsid w:val="0069579C"/>
    <w:rsid w:val="006D3BBE"/>
    <w:rsid w:val="006F6FF2"/>
    <w:rsid w:val="007530DA"/>
    <w:rsid w:val="007D6AC4"/>
    <w:rsid w:val="008D1100"/>
    <w:rsid w:val="008D715E"/>
    <w:rsid w:val="008E3FDB"/>
    <w:rsid w:val="008E56D3"/>
    <w:rsid w:val="009E749E"/>
    <w:rsid w:val="00A2544E"/>
    <w:rsid w:val="00A7703A"/>
    <w:rsid w:val="00AE3054"/>
    <w:rsid w:val="00B903A7"/>
    <w:rsid w:val="00BC18DE"/>
    <w:rsid w:val="00BE0294"/>
    <w:rsid w:val="00C02BFC"/>
    <w:rsid w:val="00DA4F30"/>
    <w:rsid w:val="00DE70BF"/>
    <w:rsid w:val="00E305EB"/>
    <w:rsid w:val="00EC6281"/>
    <w:rsid w:val="00F460E6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39E"/>
  </w:style>
  <w:style w:type="paragraph" w:styleId="a3">
    <w:name w:val="Balloon Text"/>
    <w:basedOn w:val="a"/>
    <w:link w:val="Char"/>
    <w:uiPriority w:val="99"/>
    <w:semiHidden/>
    <w:unhideWhenUsed/>
    <w:rsid w:val="0061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4C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14C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39E"/>
  </w:style>
  <w:style w:type="paragraph" w:styleId="a3">
    <w:name w:val="Balloon Text"/>
    <w:basedOn w:val="a"/>
    <w:link w:val="Char"/>
    <w:uiPriority w:val="99"/>
    <w:semiHidden/>
    <w:unhideWhenUsed/>
    <w:rsid w:val="0061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4C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14C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D5F4-D181-44C0-9D93-8D5E8867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المستخدم</cp:lastModifiedBy>
  <cp:revision>12</cp:revision>
  <dcterms:created xsi:type="dcterms:W3CDTF">2015-03-11T08:12:00Z</dcterms:created>
  <dcterms:modified xsi:type="dcterms:W3CDTF">2015-09-07T17:27:00Z</dcterms:modified>
</cp:coreProperties>
</file>