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4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21"/>
        <w:gridCol w:w="3558"/>
      </w:tblGrid>
      <w:tr w:rsidR="008B7523" w:rsidTr="008B7523">
        <w:trPr>
          <w:trHeight w:val="1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8B7523" w:rsidRDefault="008B75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قسم علم النفس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7B451E" wp14:editId="38177906">
                  <wp:extent cx="1362075" cy="51435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23" w:rsidRDefault="008B7523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التاريخ :  ......................</w:t>
            </w:r>
          </w:p>
          <w:p w:rsidR="008B7523" w:rsidRDefault="008B7523">
            <w:pPr>
              <w:pStyle w:val="a3"/>
              <w:rPr>
                <w:sz w:val="28"/>
                <w:szCs w:val="28"/>
                <w:rtl/>
              </w:rPr>
            </w:pPr>
          </w:p>
          <w:p w:rsidR="008B7523" w:rsidRDefault="008B7523">
            <w:pPr>
              <w:pStyle w:val="a3"/>
              <w:bidi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071106-3201</w:t>
            </w:r>
            <w:r>
              <w:rPr>
                <w:sz w:val="28"/>
                <w:szCs w:val="28"/>
                <w:rtl/>
              </w:rPr>
              <w:t xml:space="preserve">  الرقم : </w:t>
            </w:r>
          </w:p>
        </w:tc>
      </w:tr>
    </w:tbl>
    <w:p w:rsidR="00E85BBA" w:rsidRPr="00F461D1" w:rsidRDefault="00E85BBA" w:rsidP="00E85BB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توصيف مختصر لمقرر </w:t>
      </w:r>
      <w:r w:rsidRPr="00F461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4</w:t>
      </w:r>
      <w:bookmarkStart w:id="0" w:name="_GoBack"/>
      <w:bookmarkEnd w:id="0"/>
      <w:r w:rsidRPr="00F461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>نفس ذي القعدة 1436هـ</w:t>
      </w:r>
    </w:p>
    <w:tbl>
      <w:tblPr>
        <w:bidiVisual/>
        <w:tblW w:w="9584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470"/>
      </w:tblGrid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524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نفس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الدراسة الثقافية المقارنة للنمو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المكتب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البريد الالكتروني أو رقم الهاتف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</w:tbl>
    <w:p w:rsidR="008B7523" w:rsidRDefault="008B7523" w:rsidP="00FF0FC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bidiVisual/>
        <w:tblW w:w="9726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8B7523" w:rsidTr="008B7523">
        <w:trPr>
          <w:trHeight w:val="70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34ACD" w:rsidRDefault="008B7523" w:rsidP="00FF0FC4">
            <w:pPr>
              <w:pStyle w:val="a5"/>
              <w:numPr>
                <w:ilvl w:val="0"/>
                <w:numId w:val="1"/>
              </w:numPr>
              <w:tabs>
                <w:tab w:val="left" w:pos="989"/>
                <w:tab w:val="left" w:pos="3824"/>
              </w:tabs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B75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الهدف العام للمقرر:</w:t>
            </w:r>
          </w:p>
          <w:p w:rsidR="008B7523" w:rsidRPr="008B7523" w:rsidRDefault="008B7523" w:rsidP="00DE1C93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يهدف هذا المقرر إلى تزويد الدارس 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بماهية الدراسات الثقافية للنمو وأهداف الدراسة الثقافية المقارنة للنمو واستيعاب المفاهيم المرتبطة بكل من النمو بشكل عبر حضاري والتعرف على  العوامل الثقافية المؤثرة في النمو</w:t>
            </w: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="00F34ACD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التعرف علي </w:t>
            </w:r>
            <w:r w:rsidR="000E49E1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أنواع البحوث في ا</w:t>
            </w:r>
            <w:r w:rsidR="00F34ACD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لدراسة الثقافية المقارنة للنمو 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وأهم النظريات العبر الثقافية المقارنة للنمو </w:t>
            </w:r>
            <w:r w:rsidR="00F34ACD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التعرف على طبيعة  ومعدلات النمو في الثقافات والمجتمعات المختلفة </w:t>
            </w:r>
            <w:r w:rsidR="00F34ACD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التعرف على بعض الدراسات الثقافية المقارنة لخصائص ومشكلات النمو</w:t>
            </w:r>
            <w:r w:rsidR="00DE1C93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F34AC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B7523" w:rsidRDefault="008B7523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bidiVisual/>
        <w:tblW w:w="978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276"/>
        <w:gridCol w:w="1560"/>
      </w:tblGrid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(2) الموضوعات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F0EDB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="002406B0"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ل</w:t>
            </w:r>
            <w:r w:rsidR="002406B0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موضوع</w:t>
            </w: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الأول :التعريف بالمقرر ، والخطة الدراسية للمقرر ، ومقدمة </w:t>
            </w:r>
            <w:r w:rsidR="002406B0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للدراسة الثقافية المقارنة لعلم النفس النمو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F0EDB" w:rsidRDefault="002406B0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موضوع</w:t>
            </w:r>
            <w:r w:rsidR="008B7523"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الثاني :أهداف 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الدراسة الثقافية المقارنة</w:t>
            </w:r>
            <w:r w:rsidR="000E49E1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للنمو والمفاهيم المرتبطة ب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النمو بشكل عبر حضاري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F0EDB" w:rsidRDefault="002406B0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موضوع</w:t>
            </w:r>
            <w:r w:rsidR="008B7523"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الثالث :</w:t>
            </w:r>
            <w:r w:rsidR="000E49E1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أنواع البحوث في ا</w:t>
            </w:r>
            <w:r w:rsidR="00900712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لدراسة الثقافية المقارنة للنمو و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طرق البحث للدراسة الثقافية المقارنة للنمو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F0EDB" w:rsidRDefault="002406B0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الموضوع</w:t>
            </w:r>
            <w:r w:rsidR="008B7523"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الرابع: </w:t>
            </w: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العوامل الثقافية المؤثرة في النمو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1A0AD0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1A0AD0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F0EDB" w:rsidRDefault="0090071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الموضوع الخامس: أسس وأساليب تنمية الأطفال والمراهقين والشباب في ضوء المعايير والقيم الثقافية للمجتمع</w:t>
            </w:r>
            <w:r w:rsidR="00C96668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F0EDB" w:rsidRDefault="0090071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الموضوع السادس: أهم النظريات العبر الثقافية المقارنة للنمو</w:t>
            </w:r>
            <w:r w:rsidR="00C96668"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23" w:rsidRPr="00FF0EDB" w:rsidRDefault="003E5506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3E5506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F0EDB" w:rsidRDefault="0090071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الموضوع السابع: بعض الدراسات الثقافية المقارنة لخصائص ومشكلات النمو</w:t>
            </w:r>
            <w:r w:rsidR="00C96668" w:rsidRPr="00FF0EDB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FF0EDB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0EDB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</w:tbl>
    <w:p w:rsidR="008B7523" w:rsidRDefault="008B7523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</w:pPr>
    </w:p>
    <w:p w:rsidR="00DE1C93" w:rsidRDefault="00DE1C93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</w:pPr>
    </w:p>
    <w:p w:rsidR="00D25305" w:rsidRDefault="00D25305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</w:pPr>
    </w:p>
    <w:tbl>
      <w:tblPr>
        <w:bidiVisual/>
        <w:tblW w:w="949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1950"/>
        <w:gridCol w:w="982"/>
        <w:gridCol w:w="900"/>
      </w:tblGrid>
      <w:tr w:rsidR="00C458CE" w:rsidTr="00C458CE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(3) طبيعة مهمة التقويم ( اختبار، مشروع جماعي ، بحث ..  ) </w:t>
            </w:r>
          </w:p>
        </w:tc>
      </w:tr>
      <w:tr w:rsidR="00C458CE" w:rsidTr="00C458CE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يعتمد تقويم المقرر على عدد الدارسين في الشعبة وخلفياتهم العلمية والأعمال التي يمارسونها على أن يلتزم بما يلي :</w:t>
            </w:r>
          </w:p>
        </w:tc>
      </w:tr>
      <w:tr w:rsidR="00C458CE" w:rsidTr="00C458C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E" w:rsidRDefault="00C458CE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الدرجة  </w:t>
            </w:r>
          </w:p>
        </w:tc>
      </w:tr>
      <w:tr w:rsidR="00C458CE" w:rsidTr="00C458C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يقل عن اختبار تحصيلي فصلي واحد ولا يزيد عن اثنين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، الثاني عشر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25-40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مجموعهما 60</w:t>
            </w:r>
          </w:p>
        </w:tc>
      </w:tr>
      <w:tr w:rsidR="00C458CE" w:rsidTr="00C458C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يقل عن تكليفين ( بحث , تلخيص وعرض ونقد دراسات ) ولا يزيد عن ثلاثة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الأسبوع العاشر  إلى الرابع عشر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20- 40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CE" w:rsidRDefault="00C458CE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C458CE" w:rsidTr="00C458C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40</w:t>
            </w:r>
          </w:p>
        </w:tc>
      </w:tr>
      <w:tr w:rsidR="00C458CE" w:rsidTr="00C458C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E" w:rsidRDefault="00C458CE">
            <w:pPr>
              <w:pStyle w:val="a5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</w:tr>
      <w:tr w:rsidR="00C458CE" w:rsidTr="00C458CE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E" w:rsidRDefault="00C458CE">
            <w:pPr>
              <w:pStyle w:val="a5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E" w:rsidRDefault="00C458CE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</w:tr>
    </w:tbl>
    <w:p w:rsidR="00D25305" w:rsidRPr="00FF0EDB" w:rsidRDefault="00D25305" w:rsidP="00FF0EDB">
      <w:pPr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</w:pPr>
    </w:p>
    <w:p w:rsidR="008B7523" w:rsidRDefault="008B7523" w:rsidP="008B7523">
      <w:pPr>
        <w:bidi w:val="0"/>
        <w:rPr>
          <w:rFonts w:ascii="Traditional Arabic" w:eastAsia="Times New Roman" w:hAnsi="Traditional Arabic" w:cs="Traditional Arabic"/>
          <w:vanish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49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B7523" w:rsidTr="008B752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(5) المراجع المعتمدة للمقرر: </w:t>
            </w:r>
          </w:p>
          <w:p w:rsidR="00153BE6" w:rsidRDefault="00FC3934" w:rsidP="00651F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ahoma" w:hAnsi="Tahoma" w:cs="Tahoma"/>
                <w:b/>
                <w:bCs/>
                <w:color w:val="8DC540"/>
                <w:sz w:val="18"/>
                <w:szCs w:val="18"/>
                <w:shd w:val="clear" w:color="auto" w:fill="FFFFFF"/>
                <w:rtl/>
              </w:rPr>
            </w:pPr>
            <w:r w:rsidRPr="00FC39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- </w:t>
            </w:r>
            <w:r w:rsidRPr="00FC39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برترانتروادك</w:t>
            </w:r>
            <w:r w:rsidRPr="00FC39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(2009).</w:t>
            </w:r>
            <w:r w:rsidRPr="00FC39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علم النفس الثقافي هل النمو المعرفي متعلق بالثقافة</w:t>
            </w:r>
            <w:r w:rsidRPr="00FC39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؟ت</w:t>
            </w:r>
            <w:r w:rsidRPr="00FC39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رجمة: حكمت خوري - جوزف بو رزق</w:t>
            </w:r>
            <w:r w:rsidRPr="00FC39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. </w:t>
            </w:r>
            <w:r w:rsidR="00651FB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بيروت</w:t>
            </w:r>
            <w:r w:rsidRPr="00FC393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: دار الفارابى</w:t>
            </w:r>
            <w:r>
              <w:rPr>
                <w:rFonts w:ascii="Tahoma" w:hAnsi="Tahoma" w:cs="Tahoma" w:hint="cs"/>
                <w:b/>
                <w:bCs/>
                <w:color w:val="8DC540"/>
                <w:sz w:val="18"/>
                <w:szCs w:val="18"/>
                <w:shd w:val="clear" w:color="auto" w:fill="FFFFFF"/>
                <w:rtl/>
              </w:rPr>
              <w:t>.</w:t>
            </w:r>
          </w:p>
          <w:p w:rsidR="00FC3934" w:rsidRDefault="00153BE6" w:rsidP="00153B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Style w:val="apple-converted-space"/>
                <w:rFonts w:ascii="Arial" w:hAnsi="Arial" w:cs="Arial" w:hint="cs"/>
                <w:color w:val="545454"/>
                <w:sz w:val="27"/>
                <w:szCs w:val="27"/>
                <w:shd w:val="clear" w:color="auto" w:fill="FFFFFF"/>
                <w:rtl/>
              </w:rPr>
              <w:t xml:space="preserve">- 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فادية علوان (2006). مقدمة  في علم النفس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الارتقائي. القاهرة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 مكتبة الدار العلمية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  <w:r w:rsidR="00FC3934">
              <w:rPr>
                <w:rStyle w:val="apple-converted-space"/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>  </w:t>
            </w:r>
          </w:p>
          <w:p w:rsidR="00651FB2" w:rsidRDefault="00387278" w:rsidP="00651F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Arial" w:hAnsi="Arial" w:cs="AL-Mohanad Bold"/>
                <w:color w:val="003366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- </w:t>
            </w:r>
            <w:r w:rsidRPr="00387278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محمود السيد ابوالنيل (</w:t>
            </w:r>
            <w:r w:rsidR="00153BE6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1998</w:t>
            </w:r>
            <w:r w:rsidRPr="00387278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).علم النفس عبر الحضاري</w:t>
            </w:r>
            <w:r w:rsidR="00153BE6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: دراسات عربية وعالمية</w:t>
            </w:r>
            <w:r w:rsidRPr="00387278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. القاهرة : دار النهضة العربية للطباعة والنشر والتوزيع. </w:t>
            </w:r>
          </w:p>
          <w:p w:rsidR="00387278" w:rsidRPr="00651FB2" w:rsidRDefault="00651FB2" w:rsidP="00651F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Arial" w:hAnsi="Arial" w:cs="AL-Mohanad Bold"/>
                <w:color w:val="003366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3366"/>
                <w:sz w:val="28"/>
                <w:szCs w:val="28"/>
                <w:rtl/>
              </w:rPr>
              <w:t xml:space="preserve">- 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 أمال صادق وفؤاد أبو حطب (1995) نمو الإنسان من مرحلة الجنين إلى مرحلة المسنين .القاهرة: دار النهضة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  <w:p w:rsidR="008B7523" w:rsidRDefault="008B7523" w:rsidP="00E20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علاء الدين كفافى : ( 1997 ) علم النفس الارتقائي</w:t>
            </w:r>
            <w:r w:rsidR="00E201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="00E2016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القاهرة:</w:t>
            </w:r>
            <w:r w:rsidR="00E201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مؤسسة الأصالة</w:t>
            </w:r>
            <w:r w:rsidR="00E2016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  <w:p w:rsidR="009C6E83" w:rsidRDefault="00A23BB6" w:rsidP="009001DE">
            <w:pPr>
              <w:shd w:val="clear" w:color="auto" w:fill="FFFFFF"/>
              <w:bidi w:val="0"/>
              <w:spacing w:before="100" w:beforeAutospacing="1" w:after="100" w:afterAutospacing="1" w:line="240" w:lineRule="auto"/>
              <w:ind w:right="54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Berry, J., Poortinga, Y., Segall, M. and Dasen, P.(2002). Cross – cultural psychology. Research and applications. Second edition. Cambridge: </w:t>
            </w:r>
            <w:r w:rsidRPr="00A23BB6">
              <w:rPr>
                <w:shd w:val="clear" w:color="auto" w:fill="FFFFFF"/>
              </w:rPr>
              <w:t>Cambridge</w:t>
            </w:r>
            <w:r>
              <w:rPr>
                <w:shd w:val="clear" w:color="auto" w:fill="FFFFFF"/>
              </w:rPr>
              <w:t xml:space="preserve"> University press.</w:t>
            </w:r>
          </w:p>
          <w:p w:rsidR="000F37E9" w:rsidRPr="000F37E9" w:rsidRDefault="000F37E9" w:rsidP="009C6E83">
            <w:pPr>
              <w:shd w:val="clear" w:color="auto" w:fill="FFFFFF"/>
              <w:bidi w:val="0"/>
              <w:spacing w:before="100" w:beforeAutospacing="1" w:after="100" w:afterAutospacing="1" w:line="240" w:lineRule="auto"/>
              <w:ind w:right="540"/>
              <w:rPr>
                <w:rFonts w:ascii="Arial Unicode MS" w:eastAsia="Arial Unicode MS" w:hAnsi="Arial Unicode MS" w:cs="Arial Unicode MS"/>
                <w:color w:val="252525"/>
                <w:sz w:val="20"/>
                <w:szCs w:val="20"/>
              </w:rPr>
            </w:pPr>
            <w:r w:rsidRPr="000F37E9">
              <w:rPr>
                <w:rFonts w:hint="eastAsia"/>
                <w:shd w:val="clear" w:color="auto" w:fill="FFFFFF"/>
              </w:rPr>
              <w:t>Catherine Raeff</w:t>
            </w:r>
            <w:r w:rsidRPr="006F2301">
              <w:rPr>
                <w:shd w:val="clear" w:color="auto" w:fill="FFFFFF"/>
              </w:rPr>
              <w:t>(2014).</w:t>
            </w:r>
            <w:r w:rsidRPr="006F2301">
              <w:rPr>
                <w:rFonts w:hint="eastAsia"/>
                <w:shd w:val="clear" w:color="auto" w:fill="FFFFFF"/>
              </w:rPr>
              <w:t xml:space="preserve"> Advances in Child Development and Behavior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5C5C5C"/>
                <w:sz w:val="18"/>
                <w:szCs w:val="18"/>
                <w:shd w:val="clear" w:color="auto" w:fill="FFFFFF"/>
              </w:rPr>
              <w:t>.</w:t>
            </w:r>
          </w:p>
          <w:p w:rsidR="000F37E9" w:rsidRPr="009001DE" w:rsidRDefault="000F37E9" w:rsidP="009001DE">
            <w:pPr>
              <w:shd w:val="clear" w:color="auto" w:fill="FFFFFF"/>
              <w:bidi w:val="0"/>
              <w:spacing w:before="100" w:beforeAutospacing="1" w:after="100" w:afterAutospacing="1" w:line="240" w:lineRule="auto"/>
              <w:ind w:right="540"/>
              <w:rPr>
                <w:rFonts w:ascii="Arial Unicode MS" w:eastAsia="Arial Unicode MS" w:hAnsi="Arial Unicode MS" w:cs="Arial Unicode MS"/>
                <w:color w:val="252525"/>
                <w:sz w:val="20"/>
                <w:szCs w:val="20"/>
              </w:rPr>
            </w:pPr>
            <w:r w:rsidRPr="006F2301">
              <w:rPr>
                <w:rFonts w:hint="eastAsia"/>
                <w:shd w:val="clear" w:color="auto" w:fill="FFFFFF"/>
              </w:rPr>
              <w:lastRenderedPageBreak/>
              <w:t>Carolyn M. Aldwin, Avron Spiro III, Crystal L. Park</w:t>
            </w:r>
            <w:r w:rsidRPr="006F2301">
              <w:rPr>
                <w:shd w:val="clear" w:color="auto" w:fill="FFFFFF"/>
              </w:rPr>
              <w:t>(2006).</w:t>
            </w:r>
            <w:r w:rsidR="009001DE" w:rsidRPr="009001DE">
              <w:rPr>
                <w:rFonts w:hint="eastAsia"/>
                <w:shd w:val="clear" w:color="auto" w:fill="FFFFFF"/>
              </w:rPr>
              <w:t xml:space="preserve"> Handbook</w:t>
            </w:r>
            <w:r w:rsidR="009001DE" w:rsidRPr="006F2301">
              <w:rPr>
                <w:rFonts w:hint="eastAsia"/>
                <w:shd w:val="clear" w:color="auto" w:fill="FFFFFF"/>
              </w:rPr>
              <w:t> of the</w:t>
            </w:r>
            <w:r w:rsidR="009001DE" w:rsidRPr="009001DE">
              <w:rPr>
                <w:rFonts w:hint="eastAsia"/>
                <w:shd w:val="clear" w:color="auto" w:fill="FFFFFF"/>
              </w:rPr>
              <w:t> Psychology</w:t>
            </w:r>
            <w:r w:rsidR="009001DE" w:rsidRPr="006F2301">
              <w:rPr>
                <w:rFonts w:hint="eastAsia"/>
                <w:shd w:val="clear" w:color="auto" w:fill="FFFFFF"/>
              </w:rPr>
              <w:t> of Aging (Sixth Edition),</w:t>
            </w:r>
          </w:p>
        </w:tc>
      </w:tr>
    </w:tbl>
    <w:p w:rsidR="00A67D36" w:rsidRPr="008B7523" w:rsidRDefault="00A67D36" w:rsidP="00DE6A6B">
      <w:pPr>
        <w:rPr>
          <w:lang w:bidi="ar-EG"/>
        </w:rPr>
      </w:pPr>
    </w:p>
    <w:sectPr w:rsidR="00A67D36" w:rsidRPr="008B7523" w:rsidSect="006C08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7D0"/>
    <w:multiLevelType w:val="multilevel"/>
    <w:tmpl w:val="92E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B6F8B"/>
    <w:multiLevelType w:val="multilevel"/>
    <w:tmpl w:val="D78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37158"/>
    <w:multiLevelType w:val="multilevel"/>
    <w:tmpl w:val="325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60FC2"/>
    <w:multiLevelType w:val="hybridMultilevel"/>
    <w:tmpl w:val="3CC6F51A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D6CE1784">
      <w:start w:val="1"/>
      <w:numFmt w:val="bullet"/>
      <w:lvlText w:val=""/>
      <w:lvlJc w:val="left"/>
      <w:pPr>
        <w:tabs>
          <w:tab w:val="num" w:pos="1227"/>
        </w:tabs>
        <w:ind w:left="1155" w:hanging="360"/>
      </w:pPr>
      <w:rPr>
        <w:rFonts w:ascii="Symbol" w:hAnsi="Symbol" w:hint="default"/>
      </w:rPr>
    </w:lvl>
    <w:lvl w:ilvl="2" w:tplc="18EA1884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L-Mohanad Bol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0F076C2"/>
    <w:multiLevelType w:val="hybridMultilevel"/>
    <w:tmpl w:val="5B02B7CE"/>
    <w:lvl w:ilvl="0" w:tplc="D14623D0">
      <w:start w:val="1"/>
      <w:numFmt w:val="decimal"/>
      <w:lvlText w:val="(%1)"/>
      <w:lvlJc w:val="left"/>
      <w:pPr>
        <w:ind w:left="735" w:hanging="37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C665F"/>
    <w:multiLevelType w:val="hybridMultilevel"/>
    <w:tmpl w:val="1D6AF67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34575"/>
    <w:rsid w:val="000E49E1"/>
    <w:rsid w:val="000F37E9"/>
    <w:rsid w:val="00153BE6"/>
    <w:rsid w:val="001A0AD0"/>
    <w:rsid w:val="002406B0"/>
    <w:rsid w:val="00387278"/>
    <w:rsid w:val="003E5506"/>
    <w:rsid w:val="00436CF4"/>
    <w:rsid w:val="0046361D"/>
    <w:rsid w:val="004C6818"/>
    <w:rsid w:val="00651FB2"/>
    <w:rsid w:val="006A076F"/>
    <w:rsid w:val="006C0827"/>
    <w:rsid w:val="006F2301"/>
    <w:rsid w:val="00834575"/>
    <w:rsid w:val="00862DE9"/>
    <w:rsid w:val="008B7523"/>
    <w:rsid w:val="009001DE"/>
    <w:rsid w:val="00900712"/>
    <w:rsid w:val="009C6E83"/>
    <w:rsid w:val="00A23BB6"/>
    <w:rsid w:val="00A67D36"/>
    <w:rsid w:val="00AE0DDA"/>
    <w:rsid w:val="00AF26DC"/>
    <w:rsid w:val="00C1032E"/>
    <w:rsid w:val="00C458CE"/>
    <w:rsid w:val="00C96668"/>
    <w:rsid w:val="00D25305"/>
    <w:rsid w:val="00DE1C93"/>
    <w:rsid w:val="00DE6A6B"/>
    <w:rsid w:val="00E20167"/>
    <w:rsid w:val="00E2674E"/>
    <w:rsid w:val="00E85BBA"/>
    <w:rsid w:val="00F1474C"/>
    <w:rsid w:val="00F30C62"/>
    <w:rsid w:val="00F34ACD"/>
    <w:rsid w:val="00F36E81"/>
    <w:rsid w:val="00FC3934"/>
    <w:rsid w:val="00FF0EDB"/>
    <w:rsid w:val="00FF0FC4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23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8B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7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523"/>
    <w:pPr>
      <w:ind w:left="720"/>
      <w:contextualSpacing/>
    </w:pPr>
  </w:style>
  <w:style w:type="character" w:styleId="a6">
    <w:name w:val="Emphasis"/>
    <w:basedOn w:val="a0"/>
    <w:uiPriority w:val="20"/>
    <w:qFormat/>
    <w:rsid w:val="00FC3934"/>
    <w:rPr>
      <w:i/>
      <w:iCs/>
    </w:rPr>
  </w:style>
  <w:style w:type="character" w:customStyle="1" w:styleId="apple-converted-space">
    <w:name w:val="apple-converted-space"/>
    <w:basedOn w:val="a0"/>
    <w:rsid w:val="00FC3934"/>
  </w:style>
  <w:style w:type="character" w:customStyle="1" w:styleId="hit">
    <w:name w:val="hit"/>
    <w:basedOn w:val="a0"/>
    <w:rsid w:val="009001DE"/>
  </w:style>
  <w:style w:type="paragraph" w:styleId="a7">
    <w:name w:val="Normal (Web)"/>
    <w:basedOn w:val="a"/>
    <w:uiPriority w:val="99"/>
    <w:semiHidden/>
    <w:unhideWhenUsed/>
    <w:rsid w:val="00E85B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23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8B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7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523"/>
    <w:pPr>
      <w:ind w:left="720"/>
      <w:contextualSpacing/>
    </w:pPr>
  </w:style>
  <w:style w:type="character" w:styleId="a6">
    <w:name w:val="Emphasis"/>
    <w:basedOn w:val="a0"/>
    <w:uiPriority w:val="20"/>
    <w:qFormat/>
    <w:rsid w:val="00FC3934"/>
    <w:rPr>
      <w:i/>
      <w:iCs/>
    </w:rPr>
  </w:style>
  <w:style w:type="character" w:customStyle="1" w:styleId="apple-converted-space">
    <w:name w:val="apple-converted-space"/>
    <w:basedOn w:val="a0"/>
    <w:rsid w:val="00FC3934"/>
  </w:style>
  <w:style w:type="character" w:customStyle="1" w:styleId="hit">
    <w:name w:val="hit"/>
    <w:basedOn w:val="a0"/>
    <w:rsid w:val="0090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21</cp:revision>
  <dcterms:created xsi:type="dcterms:W3CDTF">2015-03-28T11:48:00Z</dcterms:created>
  <dcterms:modified xsi:type="dcterms:W3CDTF">2015-09-03T22:03:00Z</dcterms:modified>
</cp:coreProperties>
</file>